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40"/>
          <w:szCs w:val="40"/>
          <w:rtl w:val="0"/>
        </w:rPr>
        <w:t xml:space="preserve">MOHAMED RIYASH MOHAMED KASSALI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4"/>
          <w:szCs w:val="24"/>
          <w:rtl w:val="0"/>
        </w:rPr>
        <w:t xml:space="preserve">Healthcare Operations &amp; Leadership Professional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color w:val="444444"/>
          <w:sz w:val="19"/>
          <w:szCs w:val="19"/>
          <w:rtl w:val="0"/>
        </w:rPr>
        <w:t xml:space="preserve">📍 India (Available to relocate immediately)</w:t>
      </w:r>
      <w:r w:rsidDel="00000000" w:rsidR="00000000" w:rsidRPr="00000000">
        <w:rPr>
          <w:rFonts w:ascii="Arial" w:cs="Arial" w:eastAsia="Arial" w:hAnsi="Arial"/>
          <w:color w:val="bbbbbb"/>
          <w:sz w:val="19"/>
          <w:szCs w:val="19"/>
          <w:rtl w:val="0"/>
        </w:rPr>
        <w:t xml:space="preserve">   |   </w:t>
      </w:r>
      <w:r w:rsidDel="00000000" w:rsidR="00000000" w:rsidRPr="00000000">
        <w:rPr>
          <w:rFonts w:ascii="Arial" w:cs="Arial" w:eastAsia="Arial" w:hAnsi="Arial"/>
          <w:color w:val="444444"/>
          <w:sz w:val="19"/>
          <w:szCs w:val="19"/>
          <w:rtl w:val="0"/>
        </w:rPr>
        <w:t xml:space="preserve">📞 +91-6379962218</w:t>
      </w:r>
      <w:r w:rsidDel="00000000" w:rsidR="00000000" w:rsidRPr="00000000">
        <w:rPr>
          <w:rFonts w:ascii="Arial" w:cs="Arial" w:eastAsia="Arial" w:hAnsi="Arial"/>
          <w:color w:val="bbbbbb"/>
          <w:sz w:val="19"/>
          <w:szCs w:val="19"/>
          <w:rtl w:val="0"/>
        </w:rPr>
        <w:t xml:space="preserve">   |   </w:t>
      </w:r>
      <w:r w:rsidDel="00000000" w:rsidR="00000000" w:rsidRPr="00000000">
        <w:rPr>
          <w:rFonts w:ascii="Arial" w:cs="Arial" w:eastAsia="Arial" w:hAnsi="Arial"/>
          <w:color w:val="444444"/>
          <w:sz w:val="19"/>
          <w:szCs w:val="19"/>
          <w:rtl w:val="0"/>
        </w:rPr>
        <w:t xml:space="preserve">✉ mohamedriyash3@gmail.com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30" w:lineRule="auto"/>
        <w:rPr/>
      </w:pPr>
      <w:r w:rsidDel="00000000" w:rsidR="00000000" w:rsidRPr="00000000">
        <w:rPr>
          <w:rFonts w:ascii="Arial" w:cs="Arial" w:eastAsia="Arial" w:hAnsi="Arial"/>
          <w:color w:val="444444"/>
          <w:sz w:val="19"/>
          <w:szCs w:val="19"/>
          <w:rtl w:val="0"/>
        </w:rPr>
        <w:t xml:space="preserve">🔗 linkedin.com/in/mohamedriyashmohamedkassali</w:t>
      </w:r>
      <w:r w:rsidDel="00000000" w:rsidR="00000000" w:rsidRPr="00000000">
        <w:rPr>
          <w:rFonts w:ascii="Arial" w:cs="Arial" w:eastAsia="Arial" w:hAnsi="Arial"/>
          <w:color w:val="bbbbbb"/>
          <w:sz w:val="19"/>
          <w:szCs w:val="19"/>
          <w:rtl w:val="0"/>
        </w:rPr>
        <w:t xml:space="preserve">   |   </w:t>
      </w:r>
      <w:r w:rsidDel="00000000" w:rsidR="00000000" w:rsidRPr="00000000">
        <w:rPr>
          <w:rFonts w:ascii="Arial" w:cs="Arial" w:eastAsia="Arial" w:hAnsi="Arial"/>
          <w:color w:val="444444"/>
          <w:sz w:val="19"/>
          <w:szCs w:val="19"/>
          <w:rtl w:val="0"/>
        </w:rPr>
        <w:t xml:space="preserve">🇬🇧 IELTS Band 8.0 (C1)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PROFESSIONAL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Results-driven Healthcare Operations professional with a Master's in Healthcare Leadership &amp; Management (Merit, University of Exeter) and a First Class Bachelor's in Clinical Optometry. Brings a rare dual advantage: front-line clinical expertise combined with UK NHS-standard practice management experience gained at Boots Opticians, where a 12% increase in quarterly sales performance was delivered through targeted staff development and operational redesign.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Currently pursuing Lean Six Sigma Healthcare Professional (LSSHP) certification through the Six Sigma Institute, building advanced process improvement and waste-reduction capabilities directly applicable to JCI-accredited and CBAHI-standard healthcare environments. Having completed a successful UK career tenure, now seeking a Gulf-based Healthcare Management role where international standards, operational leadership, and clinical understanding create measurable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KEY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e8f4f0" w:val="clear"/>
        <w:spacing w:after="50" w:before="5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color w:val="1a6b5a"/>
          <w:sz w:val="20"/>
          <w:szCs w:val="20"/>
          <w:rtl w:val="0"/>
        </w:rPr>
        <w:t xml:space="preserve">▶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0"/>
          <w:szCs w:val="20"/>
          <w:rtl w:val="0"/>
        </w:rPr>
        <w:t xml:space="preserve">Delivered 12% increase in quarterly sales at Boots Opticians Cheltenham through staff coaching and customer relationship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e8f4f0" w:val="clear"/>
        <w:spacing w:after="50" w:before="5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color w:val="1a6b5a"/>
          <w:sz w:val="20"/>
          <w:szCs w:val="20"/>
          <w:rtl w:val="0"/>
        </w:rPr>
        <w:t xml:space="preserve">▶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0"/>
          <w:szCs w:val="20"/>
          <w:rtl w:val="0"/>
        </w:rPr>
        <w:t xml:space="preserve">Promoted from Optical Consultant to Assistant Manager to Practice Manager within 18 months — top-quartile career progression within Boots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e8f4f0" w:val="clear"/>
        <w:spacing w:after="50" w:before="5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color w:val="1a6b5a"/>
          <w:sz w:val="20"/>
          <w:szCs w:val="20"/>
          <w:rtl w:val="0"/>
        </w:rPr>
        <w:t xml:space="preserve">▶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0"/>
          <w:szCs w:val="20"/>
          <w:rtl w:val="0"/>
        </w:rPr>
        <w:t xml:space="preserve">Managed full clinical, retail and commercial operations for a multidisciplinary team at Boots Opticians Keighley (NHS-standard environment)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e8f4f0" w:val="clear"/>
        <w:spacing w:after="50" w:before="5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color w:val="1a6b5a"/>
          <w:sz w:val="20"/>
          <w:szCs w:val="20"/>
          <w:rtl w:val="0"/>
        </w:rPr>
        <w:t xml:space="preserve">▶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0"/>
          <w:szCs w:val="20"/>
          <w:rtl w:val="0"/>
        </w:rPr>
        <w:t xml:space="preserve">IELTS Band 8.0 (C1) — in the top 10% of all IELTS test-takers globally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e8f4f0" w:val="clear"/>
        <w:spacing w:after="50" w:before="5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color w:val="1a6b5a"/>
          <w:sz w:val="20"/>
          <w:szCs w:val="20"/>
          <w:rtl w:val="0"/>
        </w:rPr>
        <w:t xml:space="preserve">▶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0"/>
          <w:szCs w:val="20"/>
          <w:rtl w:val="0"/>
        </w:rPr>
        <w:t xml:space="preserve">First Class Honours — B.Optom, Sri Ramachandra Institute; Merit — MSc HLM, University of Exeter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026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Practice Manager</w:t>
      </w:r>
      <w:r w:rsidDel="00000000" w:rsidR="00000000" w:rsidRPr="00000000">
        <w:rPr>
          <w:rFonts w:ascii="Arial" w:cs="Arial" w:eastAsia="Arial" w:hAnsi="Arial"/>
          <w:color w:val="aaaaaa"/>
          <w:sz w:val="22"/>
          <w:szCs w:val="22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2"/>
          <w:szCs w:val="22"/>
          <w:rtl w:val="0"/>
        </w:rPr>
        <w:t xml:space="preserve">Boots Opticians — Keighley, UK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Jun 2025 – Nov 2025 (Relocated due to UK Visa Expiry)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​Operations Leadership: Directed full-scale clinical and retail operations for a multidisciplinary team, ensuring 100% compliance with NHS-standard clinical governance.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Performance Engineering: Monitored and optimized key performance indicators (KPIs), including conversion rates and patient satisfaction scores, to sustain business growth.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Human Capital Management: Led professional development planning, performance reviews, and training compliance for clinical and retail staff.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Strategic Growth: Designed and executed local marketing and community outreach initiatives to expand the practice’s patient base.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Assistant Manager</w:t>
      </w:r>
      <w:r w:rsidDel="00000000" w:rsidR="00000000" w:rsidRPr="00000000">
        <w:rPr>
          <w:rFonts w:ascii="Arial" w:cs="Arial" w:eastAsia="Arial" w:hAnsi="Arial"/>
          <w:color w:val="aaaaaa"/>
          <w:sz w:val="22"/>
          <w:szCs w:val="22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2"/>
          <w:szCs w:val="22"/>
          <w:rtl w:val="0"/>
        </w:rPr>
        <w:t xml:space="preserve">Boots Opticians — Cheltenham, UK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Apr 2024 – Jun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​Revenue Growth: Achieved a 12% increase in quarterly sales by redesigning staff training programs and enhancing customer relationship management (CRM) strategies.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​Workflow Optimization: Managed daily store operations, including staff rostering and clinic workflow optimization, to balance high-volume patient flow with quality of care.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tl w:val="0"/>
        </w:rPr>
        <w:t xml:space="preserve">​Quality Control: Coached optical consultants to improve dispensing quality and customer service standards, resulting in higher patient retention.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Optical Consultant</w:t>
      </w:r>
      <w:r w:rsidDel="00000000" w:rsidR="00000000" w:rsidRPr="00000000">
        <w:rPr>
          <w:rFonts w:ascii="Arial" w:cs="Arial" w:eastAsia="Arial" w:hAnsi="Arial"/>
          <w:color w:val="aaaaaa"/>
          <w:sz w:val="22"/>
          <w:szCs w:val="22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2"/>
          <w:szCs w:val="22"/>
          <w:rtl w:val="0"/>
        </w:rPr>
        <w:t xml:space="preserve">Boots Opticians — Exeter, UK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Feb 2024 –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Delivered expert eyewear dispensing, pre-testing support, and patient consultations aligned with clinical and lifestyle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strong patient rapport and resolved dispensed eyewear issues with professionalism and clinical precision.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Healthcare Assistant (Part-time)</w:t>
      </w:r>
      <w:r w:rsidDel="00000000" w:rsidR="00000000" w:rsidRPr="00000000">
        <w:rPr>
          <w:rFonts w:ascii="Arial" w:cs="Arial" w:eastAsia="Arial" w:hAnsi="Arial"/>
          <w:color w:val="aaaaaa"/>
          <w:sz w:val="22"/>
          <w:szCs w:val="22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2"/>
          <w:szCs w:val="22"/>
          <w:rtl w:val="0"/>
        </w:rPr>
        <w:t xml:space="preserve">Royal Devon University Healthcare NHS Foundation Trust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Feb 2023 – Feb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Provided patient-centred care within an NHS acute setting, supporting clinical teams with daily patient management and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Maintained accurate patient records including vital signs, treatments, and responses; ensured care delivery aligned with NHS values and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Gained direct exposure to NHS clinical governance, multidisciplinary team working, and acute healthcare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Clinical Optometrist &amp; Vision Centre Lead</w:t>
      </w:r>
      <w:r w:rsidDel="00000000" w:rsidR="00000000" w:rsidRPr="00000000">
        <w:rPr>
          <w:rFonts w:ascii="Arial" w:cs="Arial" w:eastAsia="Arial" w:hAnsi="Arial"/>
          <w:color w:val="aaaaaa"/>
          <w:sz w:val="22"/>
          <w:szCs w:val="22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2"/>
          <w:szCs w:val="22"/>
          <w:rtl w:val="0"/>
        </w:rPr>
        <w:t xml:space="preserve">M.N Eye Hospital — Chennai, India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Sep 2021 – Aug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Led comprehensive eye examinations including slit lamp biomicroscopy, refraction, and contact lens assessments.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Oversaw optical dispensing quality, resolved complex spectacle issues, and mentored junior clinical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Established patient communication protocols that improved consultation satisfaction and recall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Clinical Internship</w:t>
      </w:r>
      <w:r w:rsidDel="00000000" w:rsidR="00000000" w:rsidRPr="00000000">
        <w:rPr>
          <w:rFonts w:ascii="Arial" w:cs="Arial" w:eastAsia="Arial" w:hAnsi="Arial"/>
          <w:color w:val="aaaaaa"/>
          <w:sz w:val="22"/>
          <w:szCs w:val="22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0"/>
          <w:bCs w:val="0"/>
          <w:color w:val="444444"/>
          <w:sz w:val="22"/>
          <w:szCs w:val="22"/>
          <w:rtl w:val="0"/>
        </w:rPr>
        <w:t xml:space="preserve">Sri Ramachandra Institute of Higher Education and Research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Jun 2020 – Jul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Conducted comprehensive eye examinations, optical dispensing, and contact lens fittings under senior optometrist supervision.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Participated in multidisciplinary case reviews and contributed to departmental clinical audits.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EDUCATION &amp;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MSc Healthcare Leadership &amp; Management — University of Exeter, UK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2022 –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before="40" w:lineRule="auto"/>
        <w:jc w:val="lef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Grade: Merit  ·  One of &lt;3.5% of Indians who hold a postgraduate degree from a UK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B.Sc Clinical Optometry — Sri Ramachandra Institute of Higher Education &amp; Research, Chennai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2017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40" w:lineRule="auto"/>
        <w:jc w:val="lef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Grade: First Class Honours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Secondary &amp; Higher Secondary — International Indian School, Riyadh, Saudi Arabia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Pre-2017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Rule="auto"/>
        <w:jc w:val="lef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Extensive cultural familiarity with Gulf professional environments and Middle Eastern etiquette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CERTIFICATIONS &amp;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Lean Six Sigma Healthcare Professional (LSSHP) — Six Sigma Institute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In Progress,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4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Focused on process optimisation, waste reduction, and quality improvement in healthcare settings — directly applicable to JCI/CBAHI accreditation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IELTS Academic — Band 8.0 (C1 Level)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4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Top 10% of all IELTS candidates globally. Demonstrates advanced professional English proficiency.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8"/>
        <w:gridCol w:w="3008"/>
        <w:gridCol w:w="3010"/>
        <w:tblGridChange w:id="0">
          <w:tblGrid>
            <w:gridCol w:w="3008"/>
            <w:gridCol w:w="3008"/>
            <w:gridCol w:w="3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Healthcare Operations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Clinical Governance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JCI/CBAHI Standards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KPI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Patient Flow Optimisation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Budget &amp; P&amp;L Oversight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Multidisciplinary Team Leadership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Staff Training &amp;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Performance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SOP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Patient Experience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Lean Six Sigma (LSSHP)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Optical Dispensing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NHS Standards &amp;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ddd8" w:space="0" w:sz="4" w:val="single"/>
              <w:left w:color="c0ddd8" w:space="0" w:sz="4" w:val="single"/>
              <w:bottom w:color="c0ddd8" w:space="0" w:sz="4" w:val="single"/>
              <w:right w:color="c0ddd8" w:space="0" w:sz="4" w:val="single"/>
            </w:tcBorders>
            <w:shd w:fill="e8f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5a"/>
                <w:sz w:val="18"/>
                <w:szCs w:val="18"/>
                <w:rtl w:val="0"/>
              </w:rPr>
              <w:t xml:space="preserve">Community Outreach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English</w:t>
      </w: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 — Fluent (IELTS Band 8.0, C1)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  Tamil</w:t>
      </w: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 — Native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  Arabic</w:t>
      </w: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 — Basic (Gulf cultural familiarity from Riyadh upbringing)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  Hindi</w:t>
      </w: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 —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2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5a"/>
          <w:sz w:val="22"/>
          <w:szCs w:val="22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bottom w:color="1a6b5a" w:space="1" w:sz="6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Gulf Cultural Background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Raised in Riyadh, Saudi Arabia — understands Gulf workplace norms, professional etiquette, and regional healthcare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Community Leadership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Active contributor to National Service Scheme (NSS) — social impact initiatives and team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right" w:leader="none" w:pos="9026"/>
        </w:tabs>
        <w:spacing w:after="50" w:before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Interests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Hiking &amp; outdoor adventure (Scafell Pike summit) — reflects resilience, goal orientation, and 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4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aaaaaa"/>
          <w:sz w:val="20"/>
          <w:szCs w:val="20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00" w:top="90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