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0"/>
        <w:gridCol w:w="2200"/>
      </w:tblGrid>
      <w:tr>
        <w:tc>
          <w:tcPr>
            <w:tcW w:w="8040" w:type="dxa"/>
            <w:shd w:val="clear" w:color="auto" w:fill="1B4F8A"/>
            <w:tcMar>
              <w:top w:w="200" w:type="dxa"/>
              <w:left w:w="240" w:type="dxa"/>
              <w:bottom w:w="200" w:type="dxa"/>
              <w:right w:w="200" w:type="dxa"/>
            </w:tcMar>
            <w:vAlign w:val="center"/>
          </w:tcPr>
          <w:p>
            <w:pPr>
              <w:spacing w:before="60" w:after="20"/>
            </w:pPr>
            <w:r>
              <w:rPr>
                <w:rFonts w:ascii="Arial" w:eastAsia="Arial" w:cs="Arial" w:hAnsi="Arial"/>
                <w:b/>
                <w:bCs/>
                <w:color w:val="FFFFFF"/>
                <w:sz w:val="52"/>
                <w:szCs w:val="52"/>
              </w:rPr>
              <w:t>PRADEEP A</w:t>
            </w:r>
          </w:p>
          <w:p>
            <w:pPr>
              <w:spacing w:before="0" w:after="60"/>
            </w:pPr>
            <w:r>
              <w:rPr>
                <w:rFonts w:ascii="Arial" w:eastAsia="Arial" w:cs="Arial" w:hAnsi="Arial"/>
                <w:i/>
                <w:iCs/>
                <w:color w:val="D6E4F0"/>
                <w:sz w:val="22"/>
                <w:szCs w:val="22"/>
              </w:rPr>
              <w:t>B.Sc. Radiotherapy Technology  |  Fresher</w:t>
            </w:r>
          </w:p>
          <w:p>
            <w:pPr>
              <w:spacing w:before="60" w:after="20"/>
            </w:pPr>
            <w:r>
              <w:rPr>
                <w:rFonts w:ascii="Arial" w:eastAsia="Arial" w:cs="Arial" w:hAnsi="Arial"/>
                <w:color w:val="FFFFFF"/>
                <w:sz w:val="19"/>
                <w:szCs w:val="19"/>
              </w:rPr>
              <w:t>📞 +91 7092251810   ✉ pradeepradeep89149@g</w:t>
            </w:r>
            <w:bookmarkStart w:id="0" w:name="_GoBack"/>
            <w:bookmarkEnd w:id="0"/>
            <w:r>
              <w:rPr>
                <w:rFonts w:ascii="Arial" w:eastAsia="Arial" w:cs="Arial" w:hAnsi="Arial"/>
                <w:color w:val="FFFFFF"/>
                <w:sz w:val="19"/>
                <w:szCs w:val="19"/>
              </w:rPr>
              <w:t>mail.com   📍 Kallakurichi, Tamil Nadu</w:t>
            </w:r>
          </w:p>
        </w:tc>
        <w:tc>
          <w:tcPr>
            <w:tcW w:w="2200" w:type="dxa"/>
            <w:shd w:val="clear" w:color="auto" w:fill="1B4F8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</w:pPr>
          </w:p>
        </w:tc>
      </w:tr>
    </w:tbl>
    <w:p>
      <w:pPr>
        <w:pBdr>
          <w:bottom w:val="single" w:sz="8" w:space="2" w:color="1B4F8A"/>
        </w:pBdr>
        <w:spacing w:before="200" w:after="80"/>
      </w:pPr>
      <w:r>
        <w:rPr>
          <w:rFonts w:ascii="Arial" w:eastAsia="Arial" w:cs="Arial" w:hAnsi="Arial"/>
          <w:b/>
          <w:bCs/>
          <w:color w:val="1B4F8A"/>
          <w:sz w:val="24"/>
          <w:szCs w:val="24"/>
        </w:rPr>
        <w:t>CAREER OBJECTIVE</w:t>
      </w:r>
    </w:p>
    <w:p>
      <w:pPr>
        <w:spacing w:before="60" w:after="6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A dedicated and enthusiastic B.Sc. Radiotherapy Technology graduate seeking a Radiotherapy Technologist position in a reputable hospital or cancer centre. Committed to delivering accurate, compassionate radiation therapy to patients while adhering to all safety and quality protocols.</w:t>
      </w:r>
    </w:p>
    <w:p>
      <w:pPr>
        <w:pBdr>
          <w:bottom w:val="single" w:sz="8" w:space="2" w:color="1B4F8A"/>
        </w:pBdr>
        <w:spacing w:before="200" w:after="80"/>
      </w:pPr>
      <w:r>
        <w:rPr>
          <w:rFonts w:ascii="Arial" w:eastAsia="Arial" w:cs="Arial" w:hAnsi="Arial"/>
          <w:b/>
          <w:bCs/>
          <w:color w:val="1B4F8A"/>
          <w:sz w:val="24"/>
          <w:szCs w:val="24"/>
        </w:rPr>
        <w:t>EDUCATION</w:t>
      </w:r>
    </w:p>
    <w:p>
      <w:pPr>
        <w:spacing w:before="80" w:after="20"/>
      </w:pPr>
      <w:r>
        <w:rPr>
          <w:rFonts w:ascii="Arial" w:eastAsia="Arial" w:cs="Arial" w:hAnsi="Arial"/>
          <w:b/>
          <w:bCs/>
          <w:i w:val="0"/>
          <w:iCs w:val="0"/>
          <w:color w:val="1A1A1A"/>
          <w:sz w:val="20"/>
          <w:szCs w:val="20"/>
        </w:rPr>
        <w:t>B.Sc. Radiotherapy Technology</w:t>
      </w: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 xml:space="preserve">   | Madurai Medical College, Madurai   |   2021 – 2026</w:t>
      </w:r>
    </w:p>
    <w:p>
      <w:pPr>
        <w:pBdr>
          <w:bottom w:val="single" w:sz="8" w:space="2" w:color="1B4F8A"/>
        </w:pBdr>
        <w:spacing w:before="200" w:after="80"/>
      </w:pPr>
      <w:r>
        <w:rPr>
          <w:rFonts w:ascii="Arial" w:eastAsia="Arial" w:cs="Arial" w:hAnsi="Arial"/>
          <w:b/>
          <w:bCs/>
          <w:color w:val="1B4F8A"/>
          <w:sz w:val="24"/>
          <w:szCs w:val="24"/>
        </w:rPr>
        <w:t>INTERNSHIP / CLINICAL TRAINING</w:t>
      </w:r>
    </w:p>
    <w:p>
      <w:pPr>
        <w:spacing w:before="140" w:after="50"/>
      </w:pPr>
      <w:r>
        <w:rPr>
          <w:rFonts w:ascii="Arial" w:eastAsia="Arial" w:cs="Arial" w:hAnsi="Arial"/>
          <w:b/>
          <w:bCs/>
          <w:color w:val="1A1A1A"/>
          <w:sz w:val="21"/>
          <w:szCs w:val="21"/>
        </w:rPr>
        <w:t>Radiotherapy Department — Clinical Intern</w:t>
      </w:r>
      <w:r>
        <w:rPr>
          <w:rFonts w:ascii="Arial" w:eastAsia="Arial" w:cs="Arial" w:hAnsi="Arial"/>
          <w:color w:val="444444"/>
          <w:sz w:val="19"/>
          <w:szCs w:val="19"/>
        </w:rPr>
        <w:t xml:space="preserve">   |   Madurai Medical College, Madurai  </w:t>
      </w:r>
    </w:p>
    <w:p>
      <w:pPr>
        <w:spacing w:before="120" w:after="40"/>
      </w:pPr>
      <w:r>
        <w:rPr>
          <w:rFonts w:ascii="Arial" w:eastAsia="Arial" w:cs="Arial" w:hAnsi="Arial"/>
          <w:b/>
          <w:bCs/>
          <w:color w:val="1B4F8A"/>
          <w:sz w:val="20"/>
          <w:szCs w:val="20"/>
        </w:rPr>
        <w:t>➤  LINAC (Linear Accelerator)</w:t>
      </w:r>
      <w:r>
        <w:rPr>
          <w:rFonts w:ascii="Arial" w:eastAsia="Arial" w:cs="Arial" w:hAnsi="Arial"/>
          <w:color w:val="444444"/>
          <w:sz w:val="19"/>
          <w:szCs w:val="19"/>
        </w:rPr>
        <w:t xml:space="preserve">   |   Varian TrueBeam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Operated Varian TrueBeam LINAC for external beam radiotherapy (EBRT).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Performed patient setup, immobilisation, field verification, and IGRT image matching.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Delivered 3DCRT, IMRT, VMAT, SBRT, SRT treatments and electron therapy at various energies.</w:t>
      </w:r>
    </w:p>
    <w:p>
      <w:pPr>
        <w:spacing w:before="120" w:after="40"/>
      </w:pPr>
      <w:r>
        <w:rPr>
          <w:rFonts w:ascii="Arial" w:eastAsia="Arial" w:cs="Arial" w:hAnsi="Arial"/>
          <w:b/>
          <w:bCs/>
          <w:color w:val="1B4F8A"/>
          <w:sz w:val="20"/>
          <w:szCs w:val="20"/>
        </w:rPr>
        <w:t>➤  Cobalt-60 Teletherapy</w:t>
      </w:r>
      <w:r>
        <w:rPr>
          <w:rFonts w:ascii="Arial" w:eastAsia="Arial" w:cs="Arial" w:hAnsi="Arial"/>
          <w:color w:val="444444"/>
          <w:sz w:val="19"/>
          <w:szCs w:val="19"/>
        </w:rPr>
        <w:t xml:space="preserve">   |   Theratron Equinox (Best Theratronics)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Operated Theratron Equinox Cobalt-60 unit for external beam teletherapy.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Performed patient positioning, field setup, and treatment delivery.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Followed radiation safety protocols including source management and daily output checks.</w:t>
      </w:r>
    </w:p>
    <w:p>
      <w:pPr>
        <w:spacing w:before="120" w:after="40"/>
      </w:pPr>
      <w:r>
        <w:rPr>
          <w:rFonts w:ascii="Arial" w:eastAsia="Arial" w:cs="Arial" w:hAnsi="Arial"/>
          <w:b/>
          <w:bCs/>
          <w:color w:val="1B4F8A"/>
          <w:sz w:val="20"/>
          <w:szCs w:val="20"/>
        </w:rPr>
        <w:t>➤  Brachytherapy</w:t>
      </w:r>
      <w:r>
        <w:rPr>
          <w:rFonts w:ascii="Arial" w:eastAsia="Arial" w:cs="Arial" w:hAnsi="Arial"/>
          <w:color w:val="444444"/>
          <w:sz w:val="19"/>
          <w:szCs w:val="19"/>
        </w:rPr>
        <w:t xml:space="preserve">   |   HDR Brachytherapy Unit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Trained in HDR brachytherapy for cervical cancer (ICBT, IVBT, ISBT) and breast cancer (SMBT).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Supported applicator placement verification, remote after-loading, patient care, and radiation safety.</w:t>
      </w:r>
    </w:p>
    <w:p>
      <w:pPr>
        <w:spacing w:before="120" w:after="40"/>
      </w:pPr>
      <w:r>
        <w:rPr>
          <w:rFonts w:ascii="Arial" w:eastAsia="Arial" w:cs="Arial" w:hAnsi="Arial"/>
          <w:b/>
          <w:bCs/>
          <w:color w:val="1B4F8A"/>
          <w:sz w:val="20"/>
          <w:szCs w:val="20"/>
        </w:rPr>
        <w:t>➤  CT Simulator</w:t>
      </w:r>
      <w:r>
        <w:rPr>
          <w:rFonts w:ascii="Arial" w:eastAsia="Arial" w:cs="Arial" w:hAnsi="Arial"/>
          <w:color w:val="444444"/>
          <w:sz w:val="19"/>
          <w:szCs w:val="19"/>
        </w:rPr>
        <w:t xml:space="preserve">   |   CT Simulation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Performed CT simulation scanning for radiotherapy treatment planning.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Managed patient positioning, immobilisation device setup.</w:t>
      </w:r>
    </w:p>
    <w:p>
      <w:pPr>
        <w:pStyle w:val="23"/>
        <w:spacing w:before="30" w:after="30"/>
      </w:pPr>
    </w:p>
    <w:p>
      <w:pPr>
        <w:pStyle w:val="23"/>
        <w:spacing w:before="30" w:after="30"/>
      </w:pPr>
      <w:r>
        <w:rPr>
          <w:rFonts w:ascii="Arial" w:eastAsia="Arial" w:cs="Arial" w:hAnsi="Arial"/>
          <w:b/>
          <w:bCs/>
          <w:color w:val="1A1A1A"/>
          <w:sz w:val="20"/>
          <w:szCs w:val="20"/>
        </w:rPr>
        <w:t>General Clinical Responsibilities: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Maintained treatment records and R&amp;V system entries for each fraction.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Participated in morning QA checks and machine warm-up procedures.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Communicated effectively with patients, explaining procedures and providing reassurance.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Ensured compliance with AERB radiation safety protocols at all times.</w:t>
      </w:r>
    </w:p>
    <w:p>
      <w:pPr>
        <w:spacing w:before="150" w:after="50"/>
      </w:pPr>
      <w:r>
        <w:rPr>
          <w:rFonts w:ascii="Arial" w:eastAsia="Arial" w:cs="Arial" w:hAnsi="Arial"/>
          <w:b/>
          <w:bCs/>
          <w:color w:val="1A1A1A"/>
          <w:sz w:val="21"/>
          <w:szCs w:val="21"/>
        </w:rPr>
        <w:t>Radiology&amp;Nuclear Medicine Department — Clinical Posting</w:t>
      </w:r>
      <w:r>
        <w:rPr>
          <w:rFonts w:ascii="Arial" w:eastAsia="Arial" w:cs="Arial" w:hAnsi="Arial"/>
          <w:color w:val="444444"/>
          <w:sz w:val="19"/>
          <w:szCs w:val="19"/>
        </w:rPr>
        <w:t xml:space="preserve">   |   MMC, Madurai   |   3 Months</w:t>
      </w:r>
    </w:p>
    <w:p>
      <w:pPr>
        <w:spacing w:before="120" w:after="40"/>
      </w:pPr>
      <w:r>
        <w:rPr>
          <w:rFonts w:ascii="Arial" w:eastAsia="Arial" w:cs="Arial" w:hAnsi="Arial"/>
          <w:b/>
          <w:bCs/>
          <w:color w:val="1B4F8A"/>
          <w:sz w:val="20"/>
          <w:szCs w:val="20"/>
        </w:rPr>
        <w:t>➤  CT Scan</w:t>
      </w:r>
      <w:r>
        <w:rPr>
          <w:rFonts w:ascii="Arial" w:eastAsia="Arial" w:cs="Arial" w:hAnsi="Arial"/>
          <w:color w:val="444444"/>
          <w:sz w:val="19"/>
          <w:szCs w:val="19"/>
        </w:rPr>
        <w:t xml:space="preserve">  </w:t>
      </w:r>
      <w:r>
        <w:rPr>
          <w:rFonts w:ascii="Arial" w:eastAsia="Arial" w:cs="Arial" w:hAnsi="Arial"/>
          <w:i/>
          <w:iCs/>
          <w:color w:val="888888"/>
          <w:sz w:val="19"/>
          <w:szCs w:val="19"/>
        </w:rPr>
        <w:t xml:space="preserve">  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Assisted in CT scanning for diagnosis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Supported patient preparation, positioning, contrast administration guidance, and image acquisition.</w:t>
      </w:r>
    </w:p>
    <w:p>
      <w:pPr>
        <w:spacing w:before="120" w:after="40"/>
      </w:pPr>
      <w:r>
        <w:rPr>
          <w:rFonts w:ascii="Arial" w:eastAsia="Arial" w:cs="Arial" w:hAnsi="Arial"/>
          <w:b/>
          <w:bCs/>
          <w:color w:val="1B4F8A"/>
          <w:sz w:val="20"/>
          <w:szCs w:val="20"/>
        </w:rPr>
        <w:t>➤  MRI</w:t>
      </w:r>
      <w:r>
        <w:rPr>
          <w:rFonts w:ascii="Arial" w:eastAsia="Arial" w:cs="Arial" w:hAnsi="Arial"/>
          <w:color w:val="444444"/>
          <w:sz w:val="19"/>
          <w:szCs w:val="19"/>
        </w:rPr>
        <w:t xml:space="preserve">   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Assisted in MRI scanning for diagnosis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Supported patient preparation, coil placement, image acquisition</w:t>
      </w:r>
    </w:p>
    <w:p>
      <w:pPr>
        <w:spacing w:before="120" w:after="40"/>
      </w:pPr>
      <w:r>
        <w:rPr>
          <w:rFonts w:ascii="Arial" w:eastAsia="Arial" w:cs="Arial" w:hAnsi="Arial"/>
          <w:b/>
          <w:bCs/>
          <w:color w:val="1B4F8A"/>
          <w:sz w:val="20"/>
          <w:szCs w:val="20"/>
        </w:rPr>
        <w:t>➤  PET-CT (Nuclear Medicine)</w:t>
      </w:r>
      <w:r>
        <w:rPr>
          <w:rFonts w:ascii="Arial" w:eastAsia="Arial" w:cs="Arial" w:hAnsi="Arial"/>
          <w:color w:val="444444"/>
          <w:sz w:val="19"/>
          <w:szCs w:val="19"/>
        </w:rPr>
        <w:t xml:space="preserve">  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Observed PET-CT imaging for cancer staging.</w:t>
      </w:r>
    </w:p>
    <w:p>
      <w:pPr>
        <w:pStyle w:val="23"/>
        <w:numPr>
          <w:ilvl w:val="0"/>
          <w:numId w:val="1"/>
        </w:numPr>
        <w:spacing w:before="30" w:after="3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Assisted in patient preparation: FDG injection protocol, uptake period management, and scan acquisition.</w:t>
      </w:r>
    </w:p>
    <w:p>
      <w:pPr>
        <w:pBdr>
          <w:bottom w:val="single" w:sz="8" w:space="2" w:color="1B4F8A"/>
        </w:pBdr>
        <w:spacing w:before="200" w:after="80"/>
      </w:pPr>
      <w:r>
        <w:rPr>
          <w:rFonts w:ascii="Arial" w:eastAsia="Arial" w:cs="Arial" w:hAnsi="Arial"/>
          <w:b/>
          <w:bCs/>
          <w:color w:val="1B4F8A"/>
          <w:sz w:val="24"/>
          <w:szCs w:val="24"/>
        </w:rPr>
        <w:t>TECHNICAL SKILLS</w:t>
      </w:r>
    </w:p>
    <w:tbl>
      <w:tblPr>
        <w:jc w:val="left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8040"/>
      </w:tblGrid>
      <w:tr>
        <w:tc>
          <w:tcPr>
            <w:tcW w:w="2200" w:type="dxa"/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</w:tcPr>
          <w:p>
            <w:r>
              <w:rPr>
                <w:rFonts w:ascii="Arial" w:eastAsia="Arial" w:cs="Arial" w:hAnsi="Arial"/>
                <w:b/>
                <w:bCs/>
                <w:color w:val="1B4F8A"/>
                <w:sz w:val="19"/>
                <w:szCs w:val="19"/>
              </w:rPr>
              <w:t>RT Equipment</w:t>
            </w:r>
          </w:p>
        </w:tc>
        <w:tc>
          <w:tcPr>
            <w:tcW w:w="8040" w:type="dxa"/>
            <w:shd w:val="clear" w:color="auto" w:fill="F5F7FA"/>
            <w:tcMar>
              <w:top w:w="80" w:type="dxa"/>
              <w:left w:w="120" w:type="dxa"/>
              <w:bottom w:w="80" w:type="dxa"/>
              <w:right w:w="80" w:type="dxa"/>
            </w:tcMar>
          </w:tcPr>
          <w:p>
            <w:r>
              <w:rPr>
                <w:rFonts w:ascii="Arial" w:eastAsia="Arial" w:cs="Arial" w:hAnsi="Arial"/>
                <w:color w:val="444444"/>
                <w:sz w:val="19"/>
                <w:szCs w:val="19"/>
              </w:rPr>
              <w:t>LINAC (Varian TrueBeam), Cobalt-60 (Theratron Equinox), HDR Brachytherapy Unit, CT Simulator</w:t>
            </w:r>
          </w:p>
        </w:tc>
      </w:tr>
      <w:tr>
        <w:tc>
          <w:tcPr>
            <w:tcW w:w="2200" w:type="dxa"/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</w:tcPr>
          <w:p>
            <w:r>
              <w:rPr>
                <w:rFonts w:ascii="Arial" w:eastAsia="Arial" w:cs="Arial" w:hAnsi="Arial"/>
                <w:b/>
                <w:bCs/>
                <w:color w:val="1B4F8A"/>
                <w:sz w:val="19"/>
                <w:szCs w:val="19"/>
              </w:rPr>
              <w:t>Radiology Equipment</w:t>
            </w:r>
          </w:p>
        </w:tc>
        <w:tc>
          <w:tcPr>
            <w:tcW w:w="8040" w:type="dxa"/>
            <w:shd w:val="clear" w:color="auto" w:fill="F5F7FA"/>
            <w:tcMar>
              <w:top w:w="80" w:type="dxa"/>
              <w:left w:w="120" w:type="dxa"/>
              <w:bottom w:w="80" w:type="dxa"/>
              <w:right w:w="80" w:type="dxa"/>
            </w:tcMar>
          </w:tcPr>
          <w:p>
            <w:r>
              <w:rPr>
                <w:rFonts w:ascii="Arial" w:eastAsia="Arial" w:cs="Arial" w:hAnsi="Arial"/>
                <w:color w:val="444444"/>
                <w:sz w:val="19"/>
                <w:szCs w:val="19"/>
              </w:rPr>
              <w:t>CT Scan, MRI, PET-CT</w:t>
            </w:r>
          </w:p>
        </w:tc>
      </w:tr>
      <w:tr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>
            <w:r>
              <w:rPr>
                <w:rFonts w:ascii="Arial" w:eastAsia="Arial" w:cs="Arial" w:hAnsi="Arial"/>
                <w:b/>
                <w:bCs/>
                <w:color w:val="1B4F8A"/>
                <w:sz w:val="19"/>
                <w:szCs w:val="19"/>
              </w:rPr>
              <w:t>Clinical Skills</w:t>
            </w:r>
          </w:p>
        </w:tc>
        <w:tc>
          <w:tcPr>
            <w:tcW w:w="8040" w:type="dxa"/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>
            <w:r>
              <w:rPr>
                <w:rFonts w:ascii="Arial" w:eastAsia="Arial" w:cs="Arial" w:hAnsi="Arial"/>
                <w:color w:val="444444"/>
                <w:sz w:val="19"/>
                <w:szCs w:val="19"/>
              </w:rPr>
              <w:t>Patient positioning, immobilisation, field verification, IGRT image matching</w:t>
            </w:r>
          </w:p>
        </w:tc>
      </w:tr>
      <w:tr>
        <w:tc>
          <w:tcPr>
            <w:tcW w:w="2200" w:type="dxa"/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</w:tcPr>
          <w:p>
            <w:r>
              <w:rPr>
                <w:rFonts w:ascii="Arial" w:eastAsia="Arial" w:cs="Arial" w:hAnsi="Arial"/>
                <w:b/>
                <w:bCs/>
                <w:color w:val="1B4F8A"/>
                <w:sz w:val="19"/>
                <w:szCs w:val="19"/>
              </w:rPr>
              <w:t>Treatment Techniques</w:t>
            </w:r>
          </w:p>
        </w:tc>
        <w:tc>
          <w:tcPr>
            <w:tcW w:w="8040" w:type="dxa"/>
            <w:shd w:val="clear" w:color="auto" w:fill="F5F7FA"/>
            <w:tcMar>
              <w:top w:w="80" w:type="dxa"/>
              <w:left w:w="120" w:type="dxa"/>
              <w:bottom w:w="80" w:type="dxa"/>
              <w:right w:w="80" w:type="dxa"/>
            </w:tcMar>
          </w:tcPr>
          <w:p>
            <w:r>
              <w:rPr>
                <w:rFonts w:ascii="Arial" w:eastAsia="Arial" w:cs="Arial" w:hAnsi="Arial"/>
                <w:color w:val="444444"/>
                <w:sz w:val="19"/>
                <w:szCs w:val="19"/>
              </w:rPr>
              <w:t>3DCRT, IMRT, VMAT, IGRT, SBRT, SRT, Electron therapy, ICBT, IVBT, ISBT, SMBT</w:t>
            </w:r>
          </w:p>
        </w:tc>
      </w:tr>
      <w:tr>
        <w:tc>
          <w:tcPr>
            <w:tcW w:w="2200" w:type="dxa"/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>
            <w:r>
              <w:rPr>
                <w:rFonts w:ascii="Arial" w:eastAsia="Arial" w:cs="Arial" w:hAnsi="Arial"/>
                <w:b/>
                <w:bCs/>
                <w:color w:val="1B4F8A"/>
                <w:sz w:val="19"/>
                <w:szCs w:val="19"/>
              </w:rPr>
              <w:t>Safety Knowledge</w:t>
            </w:r>
          </w:p>
        </w:tc>
        <w:tc>
          <w:tcPr>
            <w:tcW w:w="8040" w:type="dxa"/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>
            <w:r>
              <w:rPr>
                <w:rFonts w:ascii="Arial" w:eastAsia="Arial" w:cs="Arial" w:hAnsi="Arial"/>
                <w:color w:val="444444"/>
                <w:sz w:val="19"/>
                <w:szCs w:val="19"/>
              </w:rPr>
              <w:t>Radiation protection, AERB guidelines, ALARA principle, source handling</w:t>
            </w:r>
          </w:p>
        </w:tc>
      </w:tr>
      <w:tr>
        <w:tc>
          <w:tcPr>
            <w:tcW w:w="2200" w:type="dxa"/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</w:tcPr>
          <w:p>
            <w:r>
              <w:rPr>
                <w:rFonts w:ascii="Arial" w:eastAsia="Arial" w:cs="Arial" w:hAnsi="Arial"/>
                <w:b/>
                <w:bCs/>
                <w:color w:val="1B4F8A"/>
                <w:sz w:val="19"/>
                <w:szCs w:val="19"/>
              </w:rPr>
              <w:t>Soft Skills</w:t>
            </w:r>
          </w:p>
        </w:tc>
        <w:tc>
          <w:tcPr>
            <w:tcW w:w="8040" w:type="dxa"/>
            <w:shd w:val="clear" w:color="auto" w:fill="F5F7FA"/>
            <w:tcMar>
              <w:top w:w="80" w:type="dxa"/>
              <w:left w:w="120" w:type="dxa"/>
              <w:bottom w:w="80" w:type="dxa"/>
              <w:right w:w="80" w:type="dxa"/>
            </w:tcMar>
          </w:tcPr>
          <w:p>
            <w:r>
              <w:rPr>
                <w:rFonts w:ascii="Arial" w:eastAsia="Arial" w:cs="Arial" w:hAnsi="Arial"/>
                <w:color w:val="444444"/>
                <w:sz w:val="19"/>
                <w:szCs w:val="19"/>
              </w:rPr>
              <w:t>Patient communication, teamwork, attention to detail, punctuality</w:t>
            </w:r>
          </w:p>
        </w:tc>
      </w:tr>
    </w:tbl>
    <w:p>
      <w:pPr>
        <w:pBdr>
          <w:bottom w:val="single" w:sz="8" w:space="2" w:color="1B4F8A"/>
        </w:pBdr>
        <w:spacing w:before="200" w:after="80"/>
      </w:pPr>
      <w:r>
        <w:rPr>
          <w:rFonts w:ascii="Arial" w:eastAsia="Arial" w:cs="Arial" w:hAnsi="Arial"/>
          <w:b/>
          <w:bCs/>
          <w:color w:val="1B4F8A"/>
          <w:sz w:val="24"/>
          <w:szCs w:val="24"/>
        </w:rPr>
        <w:t>LANGUAGES KNOWN</w:t>
      </w:r>
    </w:p>
    <w:p>
      <w:pPr>
        <w:spacing w:before="60" w:after="60"/>
      </w:pPr>
      <w:r>
        <w:rPr>
          <w:rFonts w:ascii="Arial" w:eastAsia="Arial" w:cs="Arial" w:hAnsi="Arial"/>
          <w:b/>
          <w:bCs/>
          <w:i w:val="0"/>
          <w:iCs w:val="0"/>
          <w:color w:val="1A1A1A"/>
          <w:sz w:val="20"/>
          <w:szCs w:val="20"/>
        </w:rPr>
        <w:t>Tamil</w:t>
      </w: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 xml:space="preserve">  (Native)    </w:t>
      </w:r>
      <w:r>
        <w:rPr>
          <w:rFonts w:ascii="Arial" w:eastAsia="Arial" w:cs="Arial" w:hAnsi="Arial"/>
          <w:b/>
          <w:bCs/>
          <w:i w:val="0"/>
          <w:iCs w:val="0"/>
          <w:color w:val="1A1A1A"/>
          <w:sz w:val="20"/>
          <w:szCs w:val="20"/>
        </w:rPr>
        <w:t>English</w:t>
      </w: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 xml:space="preserve">  </w:t>
      </w:r>
    </w:p>
    <w:p>
      <w:pPr>
        <w:pBdr>
          <w:bottom w:val="single" w:sz="8" w:space="2" w:color="1B4F8A"/>
        </w:pBdr>
        <w:spacing w:before="200" w:after="80"/>
      </w:pPr>
      <w:r>
        <w:rPr>
          <w:rFonts w:ascii="Arial" w:eastAsia="Arial" w:cs="Arial" w:hAnsi="Arial"/>
          <w:b/>
          <w:bCs/>
          <w:color w:val="1B4F8A"/>
          <w:sz w:val="24"/>
          <w:szCs w:val="24"/>
        </w:rPr>
        <w:t>DECLARATION</w:t>
      </w:r>
    </w:p>
    <w:p>
      <w:pPr>
        <w:spacing w:before="60" w:after="12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>I hereby declare that the information furnished above is true and correct to the best of my knowledge and belief.</w:t>
      </w:r>
    </w:p>
    <w:p>
      <w:pPr>
        <w:spacing w:before="80" w:after="20"/>
      </w:pPr>
      <w:r>
        <w:rPr>
          <w:rFonts w:ascii="Arial" w:eastAsia="Arial" w:cs="Arial" w:hAnsi="Arial"/>
          <w:b w:val="0"/>
          <w:bCs w:val="0"/>
          <w:i w:val="0"/>
          <w:iCs w:val="0"/>
          <w:color w:val="444444"/>
          <w:sz w:val="19"/>
          <w:szCs w:val="19"/>
        </w:rPr>
        <w:t xml:space="preserve">Place: Kallakurichi                                                                      </w:t>
      </w:r>
      <w:r>
        <w:rPr>
          <w:rFonts w:ascii="Arial" w:eastAsia="Arial" w:cs="Arial" w:hAnsi="Arial"/>
          <w:b/>
          <w:bCs/>
          <w:i w:val="0"/>
          <w:iCs w:val="0"/>
          <w:color w:val="1A1A1A"/>
          <w:sz w:val="19"/>
          <w:szCs w:val="19"/>
        </w:rPr>
        <w:t>Pradeep A</w:t>
      </w:r>
    </w:p>
    <w:sectPr>
      <w:pgSz w:w="12240" w:h="15840"/>
      <w:pgMar w:top="900" w:right="1000" w:bottom="900" w:left="1000" w:header="708" w:footer="708" w:gutter="0"/>
      <w:pgNumType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al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OPPO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multiLevelType w:val="hybridMultilevel"/>
    <w:tmpl w:val="00000000"/>
    <w:lvl w:ilvl="0">
      <w:start w:val="1"/>
      <w:numFmt w:val="bullet"/>
      <w:lvlRestart w:val="0"/>
      <w:lvlText w:val="•"/>
      <w:lvlJc w:val="left"/>
      <w:pPr>
        <w:tabs>
          <w:tab w:val="num" w:pos="0"/>
        </w:tabs>
        <w:ind w:left="360" w:hanging="180"/>
      </w:pPr>
    </w:lvl>
    <w:lvl w:ilvl="1">
      <w:start w:val="1"/>
      <w:numFmt w:val="bullet"/>
      <w:lvlText w:val="◦"/>
      <w:lvlJc w:val="left"/>
      <w:pPr>
        <w:tabs>
          <w:tab w:val="num" w:pos="0"/>
        </w:tabs>
        <w:ind w:left="620" w:hanging="180"/>
      </w:pPr>
    </w:lvl>
    <w:lvl w:ilvl="2">
      <w:start w:val="1"/>
      <w:numFmt w:val="decimal"/>
      <w:lvlRestart w:val="0"/>
      <w:lvlText w:val="%1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Restart w:val="0"/>
      <w:lvlText w:val="%1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Restart w:val="0"/>
      <w:lvlText w:val="%1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Restart w:val="0"/>
      <w:lvlText w:val="%1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Restart w:val="0"/>
      <w:lvlText w:val="%1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Restart w:val="0"/>
      <w:lvlText w:val="%1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Restart w:val="0"/>
      <w:lvlText w:val="%1"/>
      <w:lvlJc w:val="left"/>
      <w:pPr>
        <w:tabs>
          <w:tab w:val="num" w:pos="0"/>
        </w:tabs>
        <w:ind w:left="0" w:hanging="0"/>
      </w:pPr>
    </w:lvl>
  </w:abstractNum>
  <w:num w:numId="1">
    <w:abstractNumId w:val="0"/>
    <w:lvlOverride w:ilvl="0">
      <w:lvl w:ilvl="0">
        <w:start w:val="1"/>
        <w:numFmt w:val="bullet"/>
        <w:lvlRestart w:val="0"/>
        <w:lvlText w:val="•"/>
        <w:lvlJc w:val="left"/>
        <w:pPr>
          <w:tabs>
            <w:tab w:val="num" w:pos="0"/>
          </w:tabs>
          <w:ind w:left="360" w:hanging="180"/>
        </w:pPr>
      </w:lvl>
      <w:startOverride w:val="1"/>
    </w:lvlOverride>
    <w:lvlOverride w:ilvl="1">
      <w:lvl w:ilvl="1">
        <w:start w:val="1"/>
        <w:numFmt w:val="bullet"/>
        <w:lvlText w:val="◦"/>
        <w:lvlJc w:val="left"/>
        <w:pPr>
          <w:tabs>
            <w:tab w:val="num" w:pos="0"/>
          </w:tabs>
          <w:ind w:left="620" w:hanging="180"/>
        </w:pPr>
      </w:lvl>
      <w:startOverride w:val="1"/>
    </w:lvlOverride>
    <w:lvlOverride w:ilvl="2">
      <w:lvl w:ilvl="2">
        <w:start w:val="1"/>
        <w:numFmt w:val="decimal"/>
        <w:lvlRestart w:val="0"/>
        <w:lvlText w:val="%1"/>
        <w:lvlJc w:val="left"/>
        <w:pPr>
          <w:tabs>
            <w:tab w:val="num" w:pos="0"/>
          </w:tabs>
          <w:ind w:left="0" w:hanging="0"/>
        </w:pPr>
      </w:lvl>
      <w:startOverride w:val="1"/>
    </w:lvlOverride>
    <w:lvlOverride w:ilvl="3">
      <w:lvl w:ilvl="3">
        <w:start w:val="1"/>
        <w:numFmt w:val="decimal"/>
        <w:lvlRestart w:val="0"/>
        <w:lvlText w:val="%1"/>
        <w:lvlJc w:val="left"/>
        <w:pPr>
          <w:tabs>
            <w:tab w:val="num" w:pos="0"/>
          </w:tabs>
          <w:ind w:left="0" w:hanging="0"/>
        </w:pPr>
      </w:lvl>
      <w:startOverride w:val="1"/>
    </w:lvlOverride>
    <w:lvlOverride w:ilvl="4">
      <w:lvl w:ilvl="4">
        <w:start w:val="1"/>
        <w:numFmt w:val="decimal"/>
        <w:lvlRestart w:val="0"/>
        <w:lvlText w:val="%1"/>
        <w:lvlJc w:val="left"/>
        <w:pPr>
          <w:tabs>
            <w:tab w:val="num" w:pos="0"/>
          </w:tabs>
          <w:ind w:left="0" w:hanging="0"/>
        </w:pPr>
      </w:lvl>
      <w:startOverride w:val="1"/>
    </w:lvlOverride>
    <w:lvlOverride w:ilvl="5">
      <w:lvl w:ilvl="5">
        <w:start w:val="1"/>
        <w:numFmt w:val="decimal"/>
        <w:lvlRestart w:val="0"/>
        <w:lvlText w:val="%1"/>
        <w:lvlJc w:val="left"/>
        <w:pPr>
          <w:tabs>
            <w:tab w:val="num" w:pos="0"/>
          </w:tabs>
          <w:ind w:left="0" w:hanging="0"/>
        </w:pPr>
      </w:lvl>
      <w:startOverride w:val="1"/>
    </w:lvlOverride>
    <w:lvlOverride w:ilvl="6">
      <w:lvl w:ilvl="6">
        <w:start w:val="1"/>
        <w:numFmt w:val="decimal"/>
        <w:lvlRestart w:val="0"/>
        <w:lvlText w:val="%1"/>
        <w:lvlJc w:val="left"/>
        <w:pPr>
          <w:tabs>
            <w:tab w:val="num" w:pos="0"/>
          </w:tabs>
          <w:ind w:left="0" w:hanging="0"/>
        </w:pPr>
      </w:lvl>
      <w:startOverride w:val="1"/>
    </w:lvlOverride>
    <w:lvlOverride w:ilvl="7">
      <w:lvl w:ilvl="7">
        <w:start w:val="1"/>
        <w:numFmt w:val="decimal"/>
        <w:lvlRestart w:val="0"/>
        <w:lvlText w:val="%1"/>
        <w:lvlJc w:val="left"/>
        <w:pPr>
          <w:tabs>
            <w:tab w:val="num" w:pos="0"/>
          </w:tabs>
          <w:ind w:left="0" w:hanging="0"/>
        </w:pPr>
      </w:lvl>
      <w:startOverride w:val="1"/>
    </w:lvlOverride>
    <w:lvlOverride w:ilvl="8">
      <w:lvl w:ilvl="8">
        <w:start w:val="1"/>
        <w:numFmt w:val="decimal"/>
        <w:lvlRestart w:val="0"/>
        <w:lvlText w:val="%1"/>
        <w:lvlJc w:val="left"/>
        <w:pPr>
          <w:tabs>
            <w:tab w:val="num" w:pos="0"/>
          </w:tabs>
          <w:ind w:left="0" w:hanging="0"/>
        </w:pPr>
      </w:lvl>
      <w:startOverride w:val="1"/>
    </w:lvlOverride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5"/>
  <w:displayBackgroundShape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Droid Sans" w:eastAsia="Droid Sans" w:cs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OPPO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itle"/>
    <w:rPr>
      <w:rFonts w:ascii="Times New Roman" w:eastAsia="宋体" w:cs="Times New Roman" w:hAnsi="Times New Roman"/>
      <w:sz w:val="56"/>
      <w:szCs w:val="56"/>
      <w:lang w:val="en-US" w:eastAsia="zh-CN" w:bidi="ar-SA"/>
    </w:rPr>
  </w:style>
  <w:style w:type="paragraph" w:customStyle="1" w:styleId="16">
    <w:name w:val="Heading 1"/>
    <w:rPr>
      <w:rFonts w:ascii="Times New Roman" w:eastAsia="宋体" w:cs="Times New Roman" w:hAnsi="Times New Roman"/>
      <w:color w:val="2E74B5"/>
      <w:sz w:val="32"/>
      <w:szCs w:val="32"/>
      <w:lang w:val="en-US" w:eastAsia="zh-CN" w:bidi="ar-SA"/>
    </w:rPr>
  </w:style>
  <w:style w:type="paragraph" w:customStyle="1" w:styleId="17">
    <w:name w:val="Heading 2"/>
    <w:rPr>
      <w:rFonts w:ascii="Times New Roman" w:eastAsia="宋体" w:cs="Times New Roman" w:hAnsi="Times New Roman"/>
      <w:color w:val="2E74B5"/>
      <w:sz w:val="26"/>
      <w:szCs w:val="26"/>
      <w:lang w:val="en-US" w:eastAsia="zh-CN" w:bidi="ar-SA"/>
    </w:rPr>
  </w:style>
  <w:style w:type="paragraph" w:customStyle="1" w:styleId="18">
    <w:name w:val="Heading 3"/>
    <w:rPr>
      <w:rFonts w:ascii="Times New Roman" w:eastAsia="宋体" w:cs="Times New Roman" w:hAnsi="Times New Roman"/>
      <w:color w:val="1F4D78"/>
      <w:sz w:val="24"/>
      <w:szCs w:val="24"/>
      <w:lang w:val="en-US" w:eastAsia="zh-CN" w:bidi="ar-SA"/>
    </w:rPr>
  </w:style>
  <w:style w:type="paragraph" w:customStyle="1" w:styleId="19">
    <w:name w:val="Heading 4"/>
    <w:rPr>
      <w:rFonts w:ascii="Times New Roman" w:eastAsia="宋体" w:cs="Times New Roman" w:hAnsi="Times New Roman"/>
      <w:i/>
      <w:iCs/>
      <w:color w:val="2E74B5"/>
      <w:lang w:val="en-US" w:eastAsia="zh-CN" w:bidi="ar-SA"/>
    </w:rPr>
  </w:style>
  <w:style w:type="paragraph" w:customStyle="1" w:styleId="20">
    <w:name w:val="Heading 5"/>
    <w:rPr>
      <w:rFonts w:ascii="Times New Roman" w:eastAsia="宋体" w:cs="Times New Roman" w:hAnsi="Times New Roman"/>
      <w:color w:val="2E74B5"/>
      <w:lang w:val="en-US" w:eastAsia="zh-CN" w:bidi="ar-SA"/>
    </w:rPr>
  </w:style>
  <w:style w:type="paragraph" w:customStyle="1" w:styleId="21">
    <w:name w:val="Heading 6"/>
    <w:rPr>
      <w:rFonts w:ascii="Times New Roman" w:eastAsia="宋体" w:cs="Times New Roman" w:hAnsi="Times New Roman"/>
      <w:color w:val="1F4D78"/>
      <w:lang w:val="en-US" w:eastAsia="zh-CN" w:bidi="ar-SA"/>
    </w:rPr>
  </w:style>
  <w:style w:type="paragraph" w:styleId="22">
    <w:name w:val="Strong"/>
    <w:rPr>
      <w:rFonts w:ascii="Times New Roman" w:eastAsia="宋体" w:cs="Times New Roman" w:hAnsi="Times New Roman"/>
      <w:b/>
      <w:bCs/>
      <w:lang w:val="en-US" w:eastAsia="zh-CN" w:bidi="ar-SA"/>
    </w:rPr>
  </w:style>
  <w:style w:type="paragraph" w:customStyle="1" w:styleId="23">
    <w:name w:val="List Paragraph"/>
    <w:rPr>
      <w:rFonts w:ascii="Times New Roman" w:eastAsia="宋体" w:cs="Times New Roman" w:hAnsi="Times New Roman"/>
      <w:lang w:val="en-US" w:eastAsia="zh-CN" w:bidi="ar-SA"/>
    </w:rPr>
  </w:style>
  <w:style w:type="character" w:styleId="24">
    <w:name w:val="Hyperlink"/>
    <w:rPr>
      <w:color w:val="0563C1"/>
      <w:u w:val="single"/>
    </w:rPr>
  </w:style>
  <w:style w:type="character" w:styleId="25">
    <w:name w:val="footnote reference"/>
    <w:rPr>
      <w:vertAlign w:val="superscript"/>
    </w:rPr>
  </w:style>
  <w:style w:type="paragraph" w:styleId="26">
    <w:name w:val="footnote text"/>
    <w:pPr>
      <w:spacing w:after="0" w:line="240" w:lineRule="auto"/>
    </w:pPr>
    <w:rPr>
      <w:rFonts w:ascii="Times New Roman" w:eastAsia="宋体" w:cs="Times New Roman" w:hAnsi="Times New Roman"/>
      <w:sz w:val="20"/>
      <w:szCs w:val="20"/>
      <w:lang w:val="en-US" w:eastAsia="zh-CN" w:bidi="ar-SA"/>
    </w:rPr>
  </w:style>
  <w:style w:type="character" w:styleId="27">
    <w:name w:val="endnote reference"/>
    <w:rPr>
      <w:vertAlign w:val="superscript"/>
    </w:rPr>
  </w:style>
  <w:style w:type="paragraph" w:styleId="28">
    <w:name w:val="endnote text"/>
    <w:pPr>
      <w:spacing w:after="0" w:line="240" w:lineRule="auto"/>
    </w:pPr>
    <w:rPr>
      <w:rFonts w:ascii="Times New Roman" w:eastAsia="宋体" w:cs="Times New Roman" w:hAnsi="Times New Roman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89</TotalTime>
  <Application>Office</Application>
  <Pages>2</Pages>
  <Words>431</Words>
  <Characters>2787</Characters>
  <Lines>61</Lines>
  <Paragraphs>56</Paragraphs>
  <CharactersWithSpaces>3296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Mobile phone user</cp:lastModifiedBy>
  <cp:revision>0</cp:revision>
  <dcterms:modified xsi:type="dcterms:W3CDTF">2026-07-11T03:04:01Z</dcterms:modified>
</cp:coreProperties>
</file>